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10B2"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2002" w:right="0"/>
      </w:pPr>
      <w:r>
        <w:rPr>
          <w:rFonts w:ascii="Aptos" w:eastAsia="Aptos" w:hAnsi="Aptos" w:cs="Aptos"/>
          <w:b/>
          <w:sz w:val="32"/>
        </w:rPr>
        <w:t xml:space="preserve">Faculty Evaluation Item Descriptions </w:t>
      </w:r>
    </w:p>
    <w:tbl>
      <w:tblPr>
        <w:tblStyle w:val="TableGrid"/>
        <w:tblW w:w="9285" w:type="dxa"/>
        <w:tblInd w:w="370" w:type="dxa"/>
        <w:tblCellMar>
          <w:top w:w="45" w:type="dxa"/>
          <w:left w:w="106" w:type="dxa"/>
          <w:bottom w:w="0" w:type="dxa"/>
          <w:right w:w="77" w:type="dxa"/>
        </w:tblCellMar>
        <w:tblLook w:val="04A0" w:firstRow="1" w:lastRow="0" w:firstColumn="1" w:lastColumn="0" w:noHBand="0" w:noVBand="1"/>
      </w:tblPr>
      <w:tblGrid>
        <w:gridCol w:w="9285"/>
      </w:tblGrid>
      <w:tr w:rsidR="000E26F7" w14:paraId="5AF42C8D" w14:textId="77777777">
        <w:trPr>
          <w:trHeight w:val="484"/>
        </w:trPr>
        <w:tc>
          <w:tcPr>
            <w:tcW w:w="9285" w:type="dxa"/>
            <w:tcBorders>
              <w:top w:val="single" w:sz="6" w:space="0" w:color="000000"/>
              <w:left w:val="single" w:sz="6" w:space="0" w:color="000000"/>
              <w:bottom w:val="single" w:sz="6" w:space="0" w:color="000000"/>
              <w:right w:val="single" w:sz="6" w:space="0" w:color="000000"/>
            </w:tcBorders>
            <w:shd w:val="clear" w:color="auto" w:fill="DAE8F8"/>
          </w:tcPr>
          <w:p w14:paraId="21FF51DC"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sz w:val="28"/>
              </w:rPr>
              <w:t>Standard Duties/Responsibilities for all Faculty:</w:t>
            </w:r>
            <w:r>
              <w:rPr>
                <w:sz w:val="28"/>
              </w:rPr>
              <w:t xml:space="preserve"> </w:t>
            </w:r>
          </w:p>
        </w:tc>
      </w:tr>
      <w:tr w:rsidR="000E26F7" w14:paraId="0796478D" w14:textId="77777777">
        <w:trPr>
          <w:trHeight w:val="378"/>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645E0FF0"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 Fulfills workload requirements as specified in the CBA, Article 26: Workload. </w:t>
            </w:r>
            <w:r>
              <w:t xml:space="preserve"> </w:t>
            </w:r>
          </w:p>
        </w:tc>
      </w:tr>
      <w:tr w:rsidR="000E26F7" w14:paraId="5E2F923B" w14:textId="77777777">
        <w:trPr>
          <w:trHeight w:val="759"/>
        </w:trPr>
        <w:tc>
          <w:tcPr>
            <w:tcW w:w="9285" w:type="dxa"/>
            <w:tcBorders>
              <w:top w:val="single" w:sz="6" w:space="0" w:color="000000"/>
              <w:left w:val="single" w:sz="6" w:space="0" w:color="000000"/>
              <w:bottom w:val="single" w:sz="6" w:space="0" w:color="000000"/>
              <w:right w:val="single" w:sz="6" w:space="0" w:color="000000"/>
            </w:tcBorders>
          </w:tcPr>
          <w:p w14:paraId="2B43AC23"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This includes maintaining </w:t>
            </w:r>
            <w:r>
              <w:t xml:space="preserve">office hours in the appropriate modalities; engagement in collegerelated professional activities during non-scheduled hours. </w:t>
            </w:r>
          </w:p>
        </w:tc>
      </w:tr>
      <w:tr w:rsidR="000E26F7" w14:paraId="2B4833C2" w14:textId="77777777">
        <w:trPr>
          <w:trHeight w:val="382"/>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6209C144"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2. Maintains an approved work schedule on file with the supervisor. </w:t>
            </w:r>
            <w:r>
              <w:t xml:space="preserve"> </w:t>
            </w:r>
          </w:p>
        </w:tc>
      </w:tr>
      <w:tr w:rsidR="000E26F7" w14:paraId="0537A431" w14:textId="77777777">
        <w:trPr>
          <w:trHeight w:val="384"/>
        </w:trPr>
        <w:tc>
          <w:tcPr>
            <w:tcW w:w="9285" w:type="dxa"/>
            <w:tcBorders>
              <w:top w:val="single" w:sz="6" w:space="0" w:color="000000"/>
              <w:left w:val="single" w:sz="6" w:space="0" w:color="000000"/>
              <w:bottom w:val="single" w:sz="6" w:space="0" w:color="000000"/>
              <w:right w:val="single" w:sz="6" w:space="0" w:color="000000"/>
            </w:tcBorders>
          </w:tcPr>
          <w:p w14:paraId="0BF65C17"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Adheres to their approved calendar of workdays. </w:t>
            </w:r>
          </w:p>
        </w:tc>
      </w:tr>
      <w:tr w:rsidR="000E26F7" w14:paraId="756EA552" w14:textId="77777777">
        <w:trPr>
          <w:trHeight w:val="751"/>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42A2AA5E"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3. Maintains required college and student records in appropriate format (as applicable by employee role). </w:t>
            </w:r>
            <w:r>
              <w:t xml:space="preserve"> </w:t>
            </w:r>
          </w:p>
        </w:tc>
      </w:tr>
      <w:tr w:rsidR="000E26F7" w14:paraId="336D2E13" w14:textId="77777777">
        <w:trPr>
          <w:trHeight w:val="1494"/>
        </w:trPr>
        <w:tc>
          <w:tcPr>
            <w:tcW w:w="9285" w:type="dxa"/>
            <w:tcBorders>
              <w:top w:val="single" w:sz="6" w:space="0" w:color="000000"/>
              <w:left w:val="single" w:sz="6" w:space="0" w:color="000000"/>
              <w:bottom w:val="single" w:sz="6" w:space="0" w:color="000000"/>
              <w:right w:val="single" w:sz="6" w:space="0" w:color="000000"/>
            </w:tcBorders>
          </w:tcPr>
          <w:p w14:paraId="30C93E70"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Faculty members must maintain their grades in an appropriate format. Faculty members should consider keeping their grades in Canvas as it will ensure that the supervisor will be able to access the grades in the event that the faculty member is unable to continue teaching the course. </w:t>
            </w:r>
          </w:p>
        </w:tc>
      </w:tr>
      <w:tr w:rsidR="000E26F7" w14:paraId="0D88A5C8" w14:textId="77777777">
        <w:trPr>
          <w:trHeight w:val="747"/>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7E8D4B24"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4. Maintains documentation and reporting standards in accordance with third-party accrediting bodies and/or compliance regulations (as applicable). </w:t>
            </w:r>
            <w:r>
              <w:t xml:space="preserve"> </w:t>
            </w:r>
          </w:p>
        </w:tc>
      </w:tr>
      <w:tr w:rsidR="000E26F7" w14:paraId="6EA1D716" w14:textId="77777777">
        <w:trPr>
          <w:trHeight w:val="389"/>
        </w:trPr>
        <w:tc>
          <w:tcPr>
            <w:tcW w:w="9285" w:type="dxa"/>
            <w:tcBorders>
              <w:top w:val="single" w:sz="6" w:space="0" w:color="000000"/>
              <w:left w:val="single" w:sz="6" w:space="0" w:color="000000"/>
              <w:bottom w:val="single" w:sz="6" w:space="0" w:color="000000"/>
              <w:right w:val="single" w:sz="6" w:space="0" w:color="000000"/>
            </w:tcBorders>
          </w:tcPr>
          <w:p w14:paraId="4E4CAD51"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This applies to all standards put forth by institutional and disciplinary accrediting bodies. </w:t>
            </w:r>
          </w:p>
        </w:tc>
      </w:tr>
      <w:tr w:rsidR="000E26F7" w14:paraId="1BD88924" w14:textId="77777777">
        <w:trPr>
          <w:trHeight w:val="381"/>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51C55EF4"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5. Follows college policies and procedures. </w:t>
            </w:r>
            <w:r>
              <w:t xml:space="preserve"> </w:t>
            </w:r>
          </w:p>
        </w:tc>
      </w:tr>
      <w:tr w:rsidR="000E26F7" w14:paraId="1159432B" w14:textId="77777777">
        <w:trPr>
          <w:trHeight w:val="1494"/>
        </w:trPr>
        <w:tc>
          <w:tcPr>
            <w:tcW w:w="9285" w:type="dxa"/>
            <w:tcBorders>
              <w:top w:val="single" w:sz="6" w:space="0" w:color="000000"/>
              <w:left w:val="single" w:sz="6" w:space="0" w:color="000000"/>
              <w:bottom w:val="single" w:sz="6" w:space="0" w:color="000000"/>
              <w:right w:val="single" w:sz="6" w:space="0" w:color="000000"/>
            </w:tcBorders>
          </w:tcPr>
          <w:p w14:paraId="5D11DD07"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This includes College Board Rules, </w:t>
            </w:r>
            <w:r>
              <w:t xml:space="preserve">APMs, the Collective Bargaining Agreement, and any local, state, or federal policies and procedures that govern the work of the College.  Examples: textbook adoption, syllabus posting, NA completion, final grades posting, IContract/I-Contract follow up, etc. </w:t>
            </w:r>
          </w:p>
        </w:tc>
      </w:tr>
      <w:tr w:rsidR="000E26F7" w14:paraId="49914DF4" w14:textId="77777777">
        <w:trPr>
          <w:trHeight w:val="376"/>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28727222"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6. Assists in the implementation of college-wide and/or discipline/department goals. </w:t>
            </w:r>
            <w:r>
              <w:t xml:space="preserve"> </w:t>
            </w:r>
          </w:p>
        </w:tc>
      </w:tr>
      <w:tr w:rsidR="000E26F7" w14:paraId="4F52851F" w14:textId="77777777">
        <w:trPr>
          <w:trHeight w:val="759"/>
        </w:trPr>
        <w:tc>
          <w:tcPr>
            <w:tcW w:w="9285" w:type="dxa"/>
            <w:tcBorders>
              <w:top w:val="single" w:sz="6" w:space="0" w:color="000000"/>
              <w:left w:val="single" w:sz="6" w:space="0" w:color="000000"/>
              <w:bottom w:val="single" w:sz="6" w:space="0" w:color="000000"/>
              <w:right w:val="single" w:sz="6" w:space="0" w:color="000000"/>
            </w:tcBorders>
          </w:tcPr>
          <w:p w14:paraId="66686E0B"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Examples: college-</w:t>
            </w:r>
            <w:r>
              <w:t xml:space="preserve">wide strategic goals, program assessment goals, outcomes assessment goals, etc. </w:t>
            </w:r>
          </w:p>
        </w:tc>
      </w:tr>
      <w:tr w:rsidR="000E26F7" w14:paraId="77587197" w14:textId="77777777">
        <w:trPr>
          <w:trHeight w:val="746"/>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2BC9CA08"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7. While fulfilling work-related duties, maintains professional interactions with stakeholders. </w:t>
            </w:r>
            <w:r>
              <w:t xml:space="preserve"> </w:t>
            </w:r>
          </w:p>
        </w:tc>
      </w:tr>
      <w:tr w:rsidR="000E26F7" w14:paraId="0DFB3BB0" w14:textId="77777777">
        <w:trPr>
          <w:trHeight w:val="669"/>
        </w:trPr>
        <w:tc>
          <w:tcPr>
            <w:tcW w:w="9285" w:type="dxa"/>
            <w:tcBorders>
              <w:top w:val="single" w:sz="6" w:space="0" w:color="000000"/>
              <w:left w:val="single" w:sz="6" w:space="0" w:color="000000"/>
              <w:bottom w:val="single" w:sz="6" w:space="0" w:color="000000"/>
              <w:right w:val="single" w:sz="6" w:space="0" w:color="000000"/>
            </w:tcBorders>
          </w:tcPr>
          <w:p w14:paraId="170AA226"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See </w:t>
            </w:r>
            <w:hyperlink r:id="rId5">
              <w:r>
                <w:rPr>
                  <w:rFonts w:ascii="Open Sans" w:eastAsia="Open Sans" w:hAnsi="Open Sans" w:cs="Open Sans"/>
                  <w:color w:val="294B5E"/>
                  <w:sz w:val="24"/>
                  <w:u w:val="single" w:color="294B5E"/>
                </w:rPr>
                <w:t>03</w:t>
              </w:r>
            </w:hyperlink>
            <w:hyperlink r:id="rId6">
              <w:r>
                <w:rPr>
                  <w:rFonts w:ascii="Open Sans" w:eastAsia="Open Sans" w:hAnsi="Open Sans" w:cs="Open Sans"/>
                  <w:color w:val="294B5E"/>
                  <w:sz w:val="24"/>
                  <w:u w:val="single" w:color="294B5E"/>
                </w:rPr>
                <w:t>-</w:t>
              </w:r>
            </w:hyperlink>
            <w:hyperlink r:id="rId7">
              <w:r>
                <w:rPr>
                  <w:rFonts w:ascii="Open Sans" w:eastAsia="Open Sans" w:hAnsi="Open Sans" w:cs="Open Sans"/>
                  <w:color w:val="294B5E"/>
                  <w:sz w:val="24"/>
                  <w:u w:val="single" w:color="294B5E"/>
                </w:rPr>
                <w:t>0203 STANDARDS OF EMPLOYEE CONDUCT</w:t>
              </w:r>
            </w:hyperlink>
            <w:hyperlink r:id="rId8">
              <w:r>
                <w:rPr>
                  <w:rFonts w:ascii="Open Sans" w:eastAsia="Open Sans" w:hAnsi="Open Sans" w:cs="Open Sans"/>
                  <w:sz w:val="24"/>
                </w:rPr>
                <w:t xml:space="preserve"> </w:t>
              </w:r>
            </w:hyperlink>
          </w:p>
        </w:tc>
      </w:tr>
      <w:tr w:rsidR="000E26F7" w14:paraId="3F5589A7" w14:textId="77777777">
        <w:trPr>
          <w:trHeight w:val="751"/>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7A2D8508"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8. Follows procedures for the custody and use of college property, including classroom and office equipment (as applicable). </w:t>
            </w:r>
            <w:r>
              <w:t xml:space="preserve"> </w:t>
            </w:r>
          </w:p>
        </w:tc>
      </w:tr>
      <w:tr w:rsidR="000E26F7" w14:paraId="2FC36EA4" w14:textId="77777777">
        <w:trPr>
          <w:trHeight w:val="389"/>
        </w:trPr>
        <w:tc>
          <w:tcPr>
            <w:tcW w:w="9285" w:type="dxa"/>
            <w:tcBorders>
              <w:top w:val="single" w:sz="6" w:space="0" w:color="000000"/>
              <w:left w:val="single" w:sz="6" w:space="0" w:color="000000"/>
              <w:bottom w:val="single" w:sz="6" w:space="0" w:color="000000"/>
              <w:right w:val="single" w:sz="6" w:space="0" w:color="000000"/>
            </w:tcBorders>
          </w:tcPr>
          <w:p w14:paraId="4F8EAE59"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See </w:t>
            </w:r>
            <w:hyperlink r:id="rId9">
              <w:r>
                <w:rPr>
                  <w:color w:val="467886"/>
                  <w:u w:val="single" w:color="467886"/>
                </w:rPr>
                <w:t>APM 04</w:t>
              </w:r>
            </w:hyperlink>
            <w:hyperlink r:id="rId10">
              <w:r>
                <w:rPr>
                  <w:color w:val="467886"/>
                  <w:u w:val="single" w:color="467886"/>
                </w:rPr>
                <w:t>-</w:t>
              </w:r>
            </w:hyperlink>
            <w:hyperlink r:id="rId11">
              <w:r>
                <w:rPr>
                  <w:color w:val="467886"/>
                  <w:u w:val="single" w:color="467886"/>
                </w:rPr>
                <w:t>1101 Property Control and Accounting</w:t>
              </w:r>
            </w:hyperlink>
            <w:hyperlink r:id="rId12">
              <w:r>
                <w:t xml:space="preserve"> </w:t>
              </w:r>
            </w:hyperlink>
          </w:p>
        </w:tc>
      </w:tr>
      <w:tr w:rsidR="000E26F7" w14:paraId="5C96FF10" w14:textId="77777777">
        <w:trPr>
          <w:trHeight w:val="746"/>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7778490A"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jc w:val="both"/>
            </w:pPr>
            <w:r>
              <w:rPr>
                <w:b/>
              </w:rPr>
              <w:t xml:space="preserve">9. Exhibits timely response to supervisor communications (as applicable based on contract workdays). </w:t>
            </w:r>
            <w:r>
              <w:t xml:space="preserve"> </w:t>
            </w:r>
          </w:p>
        </w:tc>
      </w:tr>
    </w:tbl>
    <w:p w14:paraId="27C40160" w14:textId="77777777" w:rsidR="000E26F7" w:rsidRDefault="000E26F7">
      <w:pPr>
        <w:pBdr>
          <w:top w:val="none" w:sz="0" w:space="0" w:color="auto"/>
          <w:left w:val="none" w:sz="0" w:space="0" w:color="auto"/>
          <w:bottom w:val="none" w:sz="0" w:space="0" w:color="auto"/>
          <w:right w:val="none" w:sz="0" w:space="0" w:color="auto"/>
        </w:pBdr>
        <w:spacing w:after="0" w:line="259" w:lineRule="auto"/>
        <w:ind w:left="-1440" w:right="10800"/>
      </w:pPr>
    </w:p>
    <w:tbl>
      <w:tblPr>
        <w:tblStyle w:val="TableGrid"/>
        <w:tblW w:w="9285" w:type="dxa"/>
        <w:tblInd w:w="370" w:type="dxa"/>
        <w:tblCellMar>
          <w:top w:w="45" w:type="dxa"/>
          <w:left w:w="106" w:type="dxa"/>
          <w:bottom w:w="0" w:type="dxa"/>
          <w:right w:w="115" w:type="dxa"/>
        </w:tblCellMar>
        <w:tblLook w:val="04A0" w:firstRow="1" w:lastRow="0" w:firstColumn="1" w:lastColumn="0" w:noHBand="0" w:noVBand="1"/>
      </w:tblPr>
      <w:tblGrid>
        <w:gridCol w:w="9285"/>
      </w:tblGrid>
      <w:tr w:rsidR="000E26F7" w14:paraId="2755642B" w14:textId="77777777">
        <w:trPr>
          <w:trHeight w:val="752"/>
        </w:trPr>
        <w:tc>
          <w:tcPr>
            <w:tcW w:w="9285" w:type="dxa"/>
            <w:tcBorders>
              <w:top w:val="single" w:sz="6" w:space="0" w:color="000000"/>
              <w:left w:val="single" w:sz="6" w:space="0" w:color="000000"/>
              <w:bottom w:val="single" w:sz="6" w:space="0" w:color="000000"/>
              <w:right w:val="single" w:sz="6" w:space="0" w:color="000000"/>
            </w:tcBorders>
          </w:tcPr>
          <w:p w14:paraId="25757D51"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The supervisor should communicate to their faculty member their expectations of what constitutes a timely response.  </w:t>
            </w:r>
          </w:p>
        </w:tc>
      </w:tr>
      <w:tr w:rsidR="000E26F7" w14:paraId="556A7753" w14:textId="77777777">
        <w:trPr>
          <w:trHeight w:val="752"/>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11F09400"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10. Engages in ongoing curriculum development in specific courses and/or programs (as applicable). </w:t>
            </w:r>
            <w:r>
              <w:t xml:space="preserve"> </w:t>
            </w:r>
          </w:p>
        </w:tc>
      </w:tr>
      <w:tr w:rsidR="000E26F7" w14:paraId="2A1A99E2" w14:textId="77777777">
        <w:trPr>
          <w:trHeight w:val="914"/>
        </w:trPr>
        <w:tc>
          <w:tcPr>
            <w:tcW w:w="9285" w:type="dxa"/>
            <w:tcBorders>
              <w:top w:val="single" w:sz="6" w:space="0" w:color="000000"/>
              <w:left w:val="single" w:sz="6" w:space="0" w:color="000000"/>
              <w:bottom w:val="single" w:sz="6" w:space="0" w:color="000000"/>
              <w:right w:val="single" w:sz="6" w:space="0" w:color="000000"/>
            </w:tcBorders>
          </w:tcPr>
          <w:p w14:paraId="70709540"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Examples: Engagement in regular review and updating of the course and program curricula; annual FLDOE required review of gen ed curricula.  </w:t>
            </w:r>
          </w:p>
        </w:tc>
      </w:tr>
      <w:tr w:rsidR="000E26F7" w14:paraId="4153206F" w14:textId="77777777">
        <w:trPr>
          <w:trHeight w:val="1487"/>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598E40A7"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11. Follows safety protocols/procedures for course, discipline and/or location where students receive instruction (e.g., appropriate personal protective equipment, equipment safety, laboratory/kitchen safety, automotive/aviation/off-site safety, general classroom/library safety, etc.). </w:t>
            </w:r>
            <w:r>
              <w:t xml:space="preserve"> </w:t>
            </w:r>
          </w:p>
        </w:tc>
      </w:tr>
      <w:tr w:rsidR="000E26F7" w14:paraId="6E0C1DEF" w14:textId="77777777">
        <w:trPr>
          <w:trHeight w:val="2235"/>
        </w:trPr>
        <w:tc>
          <w:tcPr>
            <w:tcW w:w="9285" w:type="dxa"/>
            <w:tcBorders>
              <w:top w:val="single" w:sz="6" w:space="0" w:color="000000"/>
              <w:left w:val="single" w:sz="6" w:space="0" w:color="000000"/>
              <w:bottom w:val="single" w:sz="6" w:space="0" w:color="000000"/>
              <w:right w:val="single" w:sz="6" w:space="0" w:color="000000"/>
            </w:tcBorders>
          </w:tcPr>
          <w:p w14:paraId="2D100D07" w14:textId="77777777" w:rsidR="000E26F7" w:rsidRDefault="003E13B3">
            <w:pPr>
              <w:pBdr>
                <w:top w:val="none" w:sz="0" w:space="0" w:color="auto"/>
                <w:left w:val="none" w:sz="0" w:space="0" w:color="auto"/>
                <w:bottom w:val="none" w:sz="0" w:space="0" w:color="auto"/>
                <w:right w:val="none" w:sz="0" w:space="0" w:color="auto"/>
              </w:pBdr>
              <w:spacing w:after="66"/>
              <w:ind w:left="0" w:right="0"/>
            </w:pPr>
            <w:r>
              <w:t xml:space="preserve">While this is important for all faculty, there are particular disciplines where the use of PPE and other safety protocols have a heightened level of importance due to the potential dangers in the classroom. In those instances, an infraction could mean the difference between life and death. Depending on the nature of the infraction, it could be justifiable for the supervisor to mark this item as needs attention based on one infraction. Review </w:t>
            </w:r>
            <w:hyperlink r:id="rId13">
              <w:r>
                <w:rPr>
                  <w:color w:val="467886"/>
                  <w:u w:val="single" w:color="467886"/>
                </w:rPr>
                <w:t>APM 09</w:t>
              </w:r>
            </w:hyperlink>
            <w:hyperlink r:id="rId14">
              <w:r>
                <w:rPr>
                  <w:color w:val="467886"/>
                  <w:u w:val="single" w:color="467886"/>
                </w:rPr>
                <w:t>-</w:t>
              </w:r>
            </w:hyperlink>
          </w:p>
          <w:p w14:paraId="5BD0A30D"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hyperlink r:id="rId15">
              <w:r>
                <w:rPr>
                  <w:color w:val="467886"/>
                  <w:u w:val="single" w:color="467886"/>
                </w:rPr>
                <w:t>0902 STUDENT LABORATORY INSTRUCTIONS AND SAFETY AGREEMENTS</w:t>
              </w:r>
            </w:hyperlink>
            <w:hyperlink r:id="rId16">
              <w:r>
                <w:rPr>
                  <w:rFonts w:ascii="Aptos" w:eastAsia="Aptos" w:hAnsi="Aptos" w:cs="Aptos"/>
                  <w:sz w:val="24"/>
                </w:rPr>
                <w:t xml:space="preserve"> </w:t>
              </w:r>
            </w:hyperlink>
          </w:p>
        </w:tc>
      </w:tr>
      <w:tr w:rsidR="000E26F7" w14:paraId="35264273" w14:textId="77777777">
        <w:trPr>
          <w:trHeight w:val="376"/>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61E54F76"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12. Contributes to student success and retention activities. </w:t>
            </w:r>
            <w:r>
              <w:t xml:space="preserve"> </w:t>
            </w:r>
          </w:p>
        </w:tc>
      </w:tr>
      <w:tr w:rsidR="000E26F7" w14:paraId="043C97AE" w14:textId="77777777">
        <w:trPr>
          <w:trHeight w:val="1494"/>
        </w:trPr>
        <w:tc>
          <w:tcPr>
            <w:tcW w:w="9285" w:type="dxa"/>
            <w:tcBorders>
              <w:top w:val="single" w:sz="6" w:space="0" w:color="000000"/>
              <w:left w:val="single" w:sz="6" w:space="0" w:color="000000"/>
              <w:bottom w:val="single" w:sz="6" w:space="0" w:color="000000"/>
              <w:right w:val="single" w:sz="6" w:space="0" w:color="000000"/>
            </w:tcBorders>
          </w:tcPr>
          <w:p w14:paraId="17D014CA" w14:textId="77777777" w:rsidR="000E26F7" w:rsidRDefault="003E13B3">
            <w:pPr>
              <w:pBdr>
                <w:top w:val="none" w:sz="0" w:space="0" w:color="auto"/>
                <w:left w:val="none" w:sz="0" w:space="0" w:color="auto"/>
                <w:bottom w:val="none" w:sz="0" w:space="0" w:color="auto"/>
                <w:right w:val="none" w:sz="0" w:space="0" w:color="auto"/>
              </w:pBdr>
              <w:spacing w:after="74" w:line="259" w:lineRule="auto"/>
              <w:ind w:left="0" w:right="0"/>
            </w:pPr>
            <w:r>
              <w:t xml:space="preserve">The definition of student success is outlined here: </w:t>
            </w:r>
            <w:hyperlink r:id="rId17">
              <w:r>
                <w:rPr>
                  <w:color w:val="467886"/>
                  <w:u w:val="single" w:color="467886"/>
                </w:rPr>
                <w:t>Student Success at FSCJ</w:t>
              </w:r>
            </w:hyperlink>
            <w:hyperlink r:id="rId18">
              <w:r>
                <w:rPr>
                  <w:rFonts w:ascii="Aptos" w:eastAsia="Aptos" w:hAnsi="Aptos" w:cs="Aptos"/>
                  <w:sz w:val="24"/>
                </w:rPr>
                <w:t xml:space="preserve"> </w:t>
              </w:r>
            </w:hyperlink>
          </w:p>
          <w:p w14:paraId="24BA4926" w14:textId="77777777" w:rsidR="000E26F7" w:rsidRDefault="003E13B3">
            <w:pPr>
              <w:pBdr>
                <w:top w:val="none" w:sz="0" w:space="0" w:color="auto"/>
                <w:left w:val="none" w:sz="0" w:space="0" w:color="auto"/>
                <w:bottom w:val="none" w:sz="0" w:space="0" w:color="auto"/>
                <w:right w:val="none" w:sz="0" w:space="0" w:color="auto"/>
              </w:pBdr>
              <w:spacing w:after="64" w:line="352" w:lineRule="auto"/>
              <w:ind w:left="0" w:right="0"/>
            </w:pPr>
            <w:r>
              <w:t xml:space="preserve">Student success priorities and goals in FSCJ’s strategic vision: </w:t>
            </w:r>
            <w:hyperlink r:id="rId19">
              <w:r>
                <w:rPr>
                  <w:color w:val="467886"/>
                  <w:u w:val="single" w:color="467886"/>
                </w:rPr>
                <w:t>2025</w:t>
              </w:r>
            </w:hyperlink>
            <w:hyperlink r:id="rId20">
              <w:r>
                <w:rPr>
                  <w:color w:val="467886"/>
                  <w:u w:val="single" w:color="467886"/>
                </w:rPr>
                <w:t>-</w:t>
              </w:r>
            </w:hyperlink>
            <w:hyperlink r:id="rId21">
              <w:r>
                <w:rPr>
                  <w:color w:val="467886"/>
                  <w:u w:val="single" w:color="467886"/>
                </w:rPr>
                <w:t>2028 Transforming</w:t>
              </w:r>
            </w:hyperlink>
            <w:hyperlink r:id="rId22">
              <w:r>
                <w:rPr>
                  <w:color w:val="467886"/>
                </w:rPr>
                <w:t xml:space="preserve"> </w:t>
              </w:r>
            </w:hyperlink>
            <w:hyperlink r:id="rId23">
              <w:r>
                <w:rPr>
                  <w:color w:val="467886"/>
                  <w:u w:val="single" w:color="467886"/>
                </w:rPr>
                <w:t>Tomorrow</w:t>
              </w:r>
            </w:hyperlink>
            <w:hyperlink r:id="rId24">
              <w:r>
                <w:t xml:space="preserve"> </w:t>
              </w:r>
            </w:hyperlink>
            <w:r>
              <w:t xml:space="preserve"> </w:t>
            </w:r>
          </w:p>
          <w:p w14:paraId="19950063"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See </w:t>
            </w:r>
            <w:hyperlink r:id="rId25">
              <w:r>
                <w:rPr>
                  <w:color w:val="467886"/>
                  <w:u w:val="single" w:color="467886"/>
                </w:rPr>
                <w:t>Student Achievement Metrics</w:t>
              </w:r>
            </w:hyperlink>
            <w:hyperlink r:id="rId26">
              <w:r>
                <w:rPr>
                  <w:rFonts w:ascii="Aptos" w:eastAsia="Aptos" w:hAnsi="Aptos" w:cs="Aptos"/>
                  <w:sz w:val="24"/>
                </w:rPr>
                <w:t xml:space="preserve"> </w:t>
              </w:r>
            </w:hyperlink>
          </w:p>
        </w:tc>
      </w:tr>
      <w:tr w:rsidR="000E26F7" w14:paraId="73667AD2" w14:textId="77777777">
        <w:trPr>
          <w:trHeight w:val="381"/>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2393AD27"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13. Uses student feedback to improve instruction, when appropriate. </w:t>
            </w:r>
            <w:r>
              <w:t xml:space="preserve"> </w:t>
            </w:r>
          </w:p>
        </w:tc>
      </w:tr>
      <w:tr w:rsidR="000E26F7" w14:paraId="5B0CD30F" w14:textId="77777777">
        <w:trPr>
          <w:trHeight w:val="4075"/>
        </w:trPr>
        <w:tc>
          <w:tcPr>
            <w:tcW w:w="9285" w:type="dxa"/>
            <w:tcBorders>
              <w:top w:val="single" w:sz="6" w:space="0" w:color="000000"/>
              <w:left w:val="single" w:sz="6" w:space="0" w:color="000000"/>
              <w:bottom w:val="single" w:sz="6" w:space="0" w:color="000000"/>
              <w:right w:val="single" w:sz="6" w:space="0" w:color="000000"/>
            </w:tcBorders>
          </w:tcPr>
          <w:p w14:paraId="3D82B955"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Student feedback is an important part of the faculty evaluation process. Supervisors should ask faculty members how they are obtaining and utilizing student feedback to improve their instruction. </w:t>
            </w:r>
            <w:r>
              <w:t xml:space="preserve">Article 11 of the Collective Bargaining Agreement states, “ The supervising </w:t>
            </w:r>
            <w:r>
              <w:t xml:space="preserve">administrator shall use multiple sources of data, including the findings of observations, the results of the evaluation of instruction by student survey of course sections taught by the faculty member, student results, and pertinent anecdotal information to complete the current </w:t>
            </w:r>
            <w:r>
              <w:t xml:space="preserve">evaluation form.” </w:t>
            </w:r>
            <w:r>
              <w:t xml:space="preserve">Supervisors should remind their faculty members about encouraging students to complete the end of course evaluation. Not all feedback from </w:t>
            </w:r>
            <w:r>
              <w:t xml:space="preserve">students is useful, but faculty members should seek to incorporate the constructive feedback that they receive from students as appropriate. If the faculty member gets feedback in other formats, they can include that in their review.  </w:t>
            </w:r>
          </w:p>
        </w:tc>
      </w:tr>
      <w:tr w:rsidR="000E26F7" w14:paraId="1283E1A1" w14:textId="77777777">
        <w:trPr>
          <w:trHeight w:val="381"/>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1609D6D8"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14. Routinely meets required institutional deadlines. </w:t>
            </w:r>
            <w:r>
              <w:t xml:space="preserve"> </w:t>
            </w:r>
          </w:p>
        </w:tc>
      </w:tr>
    </w:tbl>
    <w:p w14:paraId="6873AA10" w14:textId="77777777" w:rsidR="000E26F7" w:rsidRDefault="000E26F7">
      <w:pPr>
        <w:pBdr>
          <w:top w:val="none" w:sz="0" w:space="0" w:color="auto"/>
          <w:left w:val="none" w:sz="0" w:space="0" w:color="auto"/>
          <w:bottom w:val="none" w:sz="0" w:space="0" w:color="auto"/>
          <w:right w:val="none" w:sz="0" w:space="0" w:color="auto"/>
        </w:pBdr>
        <w:spacing w:after="0" w:line="259" w:lineRule="auto"/>
        <w:ind w:left="-1440" w:right="10800"/>
      </w:pPr>
    </w:p>
    <w:tbl>
      <w:tblPr>
        <w:tblStyle w:val="TableGrid"/>
        <w:tblW w:w="9285" w:type="dxa"/>
        <w:tblInd w:w="370" w:type="dxa"/>
        <w:tblCellMar>
          <w:top w:w="45" w:type="dxa"/>
          <w:left w:w="106" w:type="dxa"/>
          <w:bottom w:w="0" w:type="dxa"/>
          <w:right w:w="64" w:type="dxa"/>
        </w:tblCellMar>
        <w:tblLook w:val="04A0" w:firstRow="1" w:lastRow="0" w:firstColumn="1" w:lastColumn="0" w:noHBand="0" w:noVBand="1"/>
      </w:tblPr>
      <w:tblGrid>
        <w:gridCol w:w="9285"/>
      </w:tblGrid>
      <w:tr w:rsidR="000E26F7" w14:paraId="74054B2D" w14:textId="77777777">
        <w:trPr>
          <w:trHeight w:val="1862"/>
        </w:trPr>
        <w:tc>
          <w:tcPr>
            <w:tcW w:w="9285" w:type="dxa"/>
            <w:tcBorders>
              <w:top w:val="single" w:sz="6" w:space="0" w:color="000000"/>
              <w:left w:val="single" w:sz="6" w:space="0" w:color="000000"/>
              <w:bottom w:val="single" w:sz="6" w:space="0" w:color="000000"/>
              <w:right w:val="single" w:sz="6" w:space="0" w:color="000000"/>
            </w:tcBorders>
          </w:tcPr>
          <w:p w14:paraId="38501A14"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If the faculty member does not meet one institutional deadline throughout the entire review period, this may not be enough to warrant a rating of Needs Attention. The faculty member would need to demonstrate a pattern of missing required institutional deadlines in order for this to be marked as Needs Attention. Examples of key deadlines include textbook adoption, syllabus posting, NA completion, final grades posting, I-Contract/I-Contract follow up, etc. </w:t>
            </w:r>
          </w:p>
        </w:tc>
      </w:tr>
      <w:tr w:rsidR="000E26F7" w14:paraId="54DADE0A" w14:textId="77777777">
        <w:trPr>
          <w:trHeight w:val="376"/>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0A21FC5B"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15. Collaboratively engages in Part II of this evaluation tool. </w:t>
            </w:r>
            <w:r>
              <w:t xml:space="preserve"> </w:t>
            </w:r>
          </w:p>
        </w:tc>
      </w:tr>
      <w:tr w:rsidR="000E26F7" w14:paraId="67A5BE00" w14:textId="77777777">
        <w:trPr>
          <w:trHeight w:val="1865"/>
        </w:trPr>
        <w:tc>
          <w:tcPr>
            <w:tcW w:w="9285" w:type="dxa"/>
            <w:tcBorders>
              <w:top w:val="single" w:sz="6" w:space="0" w:color="000000"/>
              <w:left w:val="single" w:sz="6" w:space="0" w:color="000000"/>
              <w:bottom w:val="single" w:sz="6" w:space="0" w:color="000000"/>
              <w:right w:val="single" w:sz="6" w:space="0" w:color="000000"/>
            </w:tcBorders>
          </w:tcPr>
          <w:p w14:paraId="6B84FB33"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It is important that the supervisor communicates the date by which the Formative Evaluation should be completed in advance so that the faculty member will have time to do it prior to the supervisor completing Part I (Summative Evaluation). If a faculty member does not complete Part II (Formative Evaluation) of this evaluation tool, the supervisor should mark this item as Needs Attention. </w:t>
            </w:r>
          </w:p>
        </w:tc>
      </w:tr>
      <w:tr w:rsidR="000E26F7" w14:paraId="581CC546" w14:textId="77777777">
        <w:trPr>
          <w:trHeight w:val="483"/>
        </w:trPr>
        <w:tc>
          <w:tcPr>
            <w:tcW w:w="9285" w:type="dxa"/>
            <w:tcBorders>
              <w:top w:val="single" w:sz="6" w:space="0" w:color="000000"/>
              <w:left w:val="single" w:sz="6" w:space="0" w:color="000000"/>
              <w:bottom w:val="single" w:sz="6" w:space="0" w:color="000000"/>
              <w:right w:val="single" w:sz="6" w:space="0" w:color="000000"/>
            </w:tcBorders>
            <w:shd w:val="clear" w:color="auto" w:fill="DAE8F8"/>
          </w:tcPr>
          <w:p w14:paraId="5C76E42F"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sz w:val="28"/>
              </w:rPr>
              <w:t xml:space="preserve">Standard Duties/Responsibilities for Teaching Faculty: </w:t>
            </w:r>
            <w:r>
              <w:rPr>
                <w:sz w:val="28"/>
              </w:rPr>
              <w:t xml:space="preserve"> </w:t>
            </w:r>
          </w:p>
        </w:tc>
      </w:tr>
      <w:tr w:rsidR="000E26F7" w14:paraId="54DEBE8F" w14:textId="77777777">
        <w:trPr>
          <w:trHeight w:val="748"/>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62C90557"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 Follows procedures for responding to action items and policies detailed in accommodation memos that originate from FSCJ Student Support Services. </w:t>
            </w:r>
            <w:r>
              <w:t xml:space="preserve"> </w:t>
            </w:r>
          </w:p>
        </w:tc>
      </w:tr>
      <w:tr w:rsidR="000E26F7" w14:paraId="66183B9F" w14:textId="77777777">
        <w:trPr>
          <w:trHeight w:val="389"/>
        </w:trPr>
        <w:tc>
          <w:tcPr>
            <w:tcW w:w="9285" w:type="dxa"/>
            <w:tcBorders>
              <w:top w:val="single" w:sz="6" w:space="0" w:color="000000"/>
              <w:left w:val="single" w:sz="6" w:space="0" w:color="000000"/>
              <w:bottom w:val="single" w:sz="6" w:space="0" w:color="000000"/>
              <w:right w:val="single" w:sz="6" w:space="0" w:color="000000"/>
            </w:tcBorders>
          </w:tcPr>
          <w:p w14:paraId="004159A2"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This is to ensure that our students are getting the accommodations they need. </w:t>
            </w:r>
          </w:p>
        </w:tc>
      </w:tr>
      <w:tr w:rsidR="000E26F7" w14:paraId="7AD11EF7" w14:textId="77777777">
        <w:trPr>
          <w:trHeight w:val="381"/>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4AB41D34"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2. Follows college policies related to developing and submitting course syllabi.</w:t>
            </w:r>
            <w:r>
              <w:t xml:space="preserve">  </w:t>
            </w:r>
          </w:p>
        </w:tc>
      </w:tr>
      <w:tr w:rsidR="000E26F7" w14:paraId="7FE18F90" w14:textId="77777777">
        <w:trPr>
          <w:trHeight w:val="1124"/>
        </w:trPr>
        <w:tc>
          <w:tcPr>
            <w:tcW w:w="9285" w:type="dxa"/>
            <w:tcBorders>
              <w:top w:val="single" w:sz="6" w:space="0" w:color="000000"/>
              <w:left w:val="single" w:sz="6" w:space="0" w:color="000000"/>
              <w:bottom w:val="single" w:sz="6" w:space="0" w:color="000000"/>
              <w:right w:val="single" w:sz="6" w:space="0" w:color="000000"/>
            </w:tcBorders>
          </w:tcPr>
          <w:p w14:paraId="439DEA15" w14:textId="77777777" w:rsidR="000E26F7" w:rsidRDefault="003E13B3">
            <w:pPr>
              <w:pBdr>
                <w:top w:val="none" w:sz="0" w:space="0" w:color="auto"/>
                <w:left w:val="none" w:sz="0" w:space="0" w:color="auto"/>
                <w:bottom w:val="none" w:sz="0" w:space="0" w:color="auto"/>
                <w:right w:val="none" w:sz="0" w:space="0" w:color="auto"/>
              </w:pBdr>
              <w:spacing w:after="97" w:line="259" w:lineRule="auto"/>
              <w:ind w:left="0" w:right="0"/>
            </w:pPr>
            <w:r>
              <w:t>Faculty members should use Simple Syllabus to create their syllabi. See</w:t>
            </w:r>
            <w:hyperlink r:id="rId27">
              <w:r>
                <w:t xml:space="preserve"> </w:t>
              </w:r>
            </w:hyperlink>
            <w:hyperlink r:id="rId28">
              <w:r>
                <w:rPr>
                  <w:color w:val="467886"/>
                  <w:u w:val="single" w:color="467886"/>
                </w:rPr>
                <w:t>APM 09</w:t>
              </w:r>
            </w:hyperlink>
            <w:hyperlink r:id="rId29">
              <w:r>
                <w:rPr>
                  <w:color w:val="467886"/>
                  <w:u w:val="single" w:color="467886"/>
                </w:rPr>
                <w:t>-</w:t>
              </w:r>
            </w:hyperlink>
            <w:hyperlink r:id="rId30">
              <w:r>
                <w:rPr>
                  <w:color w:val="467886"/>
                  <w:u w:val="single" w:color="467886"/>
                </w:rPr>
                <w:t>0201</w:t>
              </w:r>
            </w:hyperlink>
            <w:hyperlink r:id="rId31">
              <w:r>
                <w:rPr>
                  <w:color w:val="467886"/>
                </w:rPr>
                <w:t xml:space="preserve"> </w:t>
              </w:r>
            </w:hyperlink>
          </w:p>
          <w:p w14:paraId="1C2A0751" w14:textId="77777777" w:rsidR="000E26F7" w:rsidRDefault="003E13B3">
            <w:pPr>
              <w:pBdr>
                <w:top w:val="none" w:sz="0" w:space="0" w:color="auto"/>
                <w:left w:val="none" w:sz="0" w:space="0" w:color="auto"/>
                <w:bottom w:val="none" w:sz="0" w:space="0" w:color="auto"/>
                <w:right w:val="none" w:sz="0" w:space="0" w:color="auto"/>
              </w:pBdr>
              <w:spacing w:after="92" w:line="259" w:lineRule="auto"/>
              <w:ind w:left="0" w:right="0"/>
            </w:pPr>
            <w:hyperlink r:id="rId32">
              <w:r>
                <w:rPr>
                  <w:color w:val="467886"/>
                  <w:u w:val="single" w:color="467886"/>
                </w:rPr>
                <w:t>Instructional Consistency: Official Course Description, Official Course Outline, and Required</w:t>
              </w:r>
            </w:hyperlink>
            <w:hyperlink r:id="rId33">
              <w:r>
                <w:rPr>
                  <w:color w:val="467886"/>
                </w:rPr>
                <w:t xml:space="preserve"> </w:t>
              </w:r>
            </w:hyperlink>
          </w:p>
          <w:p w14:paraId="1367602E"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hyperlink r:id="rId34">
              <w:r>
                <w:rPr>
                  <w:color w:val="467886"/>
                  <w:u w:val="single" w:color="467886"/>
                </w:rPr>
                <w:t>Syllabus Components</w:t>
              </w:r>
            </w:hyperlink>
            <w:hyperlink r:id="rId35">
              <w:r>
                <w:t xml:space="preserve"> </w:t>
              </w:r>
            </w:hyperlink>
            <w:r>
              <w:t xml:space="preserve">  </w:t>
            </w:r>
          </w:p>
        </w:tc>
      </w:tr>
      <w:tr w:rsidR="000E26F7" w14:paraId="35386873" w14:textId="77777777">
        <w:trPr>
          <w:trHeight w:val="751"/>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0B4D72C3"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3. When applicable, participates in departmental selection of instructional materials as outlined in the CBA. </w:t>
            </w:r>
            <w:r>
              <w:t xml:space="preserve"> </w:t>
            </w:r>
          </w:p>
        </w:tc>
      </w:tr>
      <w:tr w:rsidR="000E26F7" w14:paraId="70C93902" w14:textId="77777777">
        <w:trPr>
          <w:trHeight w:val="384"/>
        </w:trPr>
        <w:tc>
          <w:tcPr>
            <w:tcW w:w="9285" w:type="dxa"/>
            <w:tcBorders>
              <w:top w:val="single" w:sz="6" w:space="0" w:color="000000"/>
              <w:left w:val="single" w:sz="6" w:space="0" w:color="000000"/>
              <w:bottom w:val="single" w:sz="6" w:space="0" w:color="000000"/>
              <w:right w:val="single" w:sz="6" w:space="0" w:color="000000"/>
            </w:tcBorders>
          </w:tcPr>
          <w:p w14:paraId="500BD3CD"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Refer to Article 20: Textbook Selection of the </w:t>
            </w:r>
            <w:hyperlink r:id="rId36">
              <w:r>
                <w:rPr>
                  <w:color w:val="467886"/>
                  <w:u w:val="single" w:color="467886"/>
                </w:rPr>
                <w:t>Collective Bargaining Agreement</w:t>
              </w:r>
            </w:hyperlink>
            <w:hyperlink r:id="rId37">
              <w:r>
                <w:t>.</w:t>
              </w:r>
            </w:hyperlink>
            <w:r>
              <w:t xml:space="preserve"> </w:t>
            </w:r>
          </w:p>
        </w:tc>
      </w:tr>
      <w:tr w:rsidR="000E26F7" w14:paraId="0CB8F521" w14:textId="77777777">
        <w:trPr>
          <w:trHeight w:val="484"/>
        </w:trPr>
        <w:tc>
          <w:tcPr>
            <w:tcW w:w="9285" w:type="dxa"/>
            <w:tcBorders>
              <w:top w:val="single" w:sz="6" w:space="0" w:color="000000"/>
              <w:left w:val="single" w:sz="6" w:space="0" w:color="000000"/>
              <w:bottom w:val="single" w:sz="6" w:space="0" w:color="000000"/>
              <w:right w:val="single" w:sz="6" w:space="0" w:color="000000"/>
            </w:tcBorders>
            <w:shd w:val="clear" w:color="auto" w:fill="DAE8F8"/>
          </w:tcPr>
          <w:p w14:paraId="729D0440"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sz w:val="28"/>
              </w:rPr>
              <w:t xml:space="preserve">Standard Duties/Responsibilities for Faculty Librarians: </w:t>
            </w:r>
            <w:r>
              <w:rPr>
                <w:sz w:val="28"/>
              </w:rPr>
              <w:t xml:space="preserve"> </w:t>
            </w:r>
          </w:p>
        </w:tc>
      </w:tr>
      <w:tr w:rsidR="000E26F7" w14:paraId="622ACB67" w14:textId="77777777">
        <w:trPr>
          <w:trHeight w:val="753"/>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2EA0996E"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1. Provides instruction on library resources through various modalities, and helps students to find, evaluate, and use information. </w:t>
            </w:r>
            <w:r>
              <w:t xml:space="preserve"> </w:t>
            </w:r>
          </w:p>
        </w:tc>
      </w:tr>
      <w:tr w:rsidR="000E26F7" w14:paraId="4B93F0A5" w14:textId="77777777">
        <w:trPr>
          <w:trHeight w:val="1494"/>
        </w:trPr>
        <w:tc>
          <w:tcPr>
            <w:tcW w:w="9285" w:type="dxa"/>
            <w:tcBorders>
              <w:top w:val="single" w:sz="6" w:space="0" w:color="000000"/>
              <w:left w:val="single" w:sz="6" w:space="0" w:color="000000"/>
              <w:bottom w:val="single" w:sz="6" w:space="0" w:color="000000"/>
              <w:right w:val="single" w:sz="6" w:space="0" w:color="000000"/>
            </w:tcBorders>
          </w:tcPr>
          <w:p w14:paraId="1ECA2256"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32"/>
            </w:pPr>
            <w:r>
              <w:t xml:space="preserve">Faculty librarians provide assistance and instruction to students and the college community in face to face, live online, and online asynchronous modalities. All librarians should be able to provide instruction in the modality required for their audience and adapt instructional techniques as needed. </w:t>
            </w:r>
          </w:p>
        </w:tc>
      </w:tr>
      <w:tr w:rsidR="000E26F7" w14:paraId="28B5FB74" w14:textId="77777777">
        <w:trPr>
          <w:trHeight w:val="746"/>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0583B4A6"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2. Prepares and updates library resources and instructional activities for access and use by the college community. </w:t>
            </w:r>
            <w:r>
              <w:t xml:space="preserve"> </w:t>
            </w:r>
          </w:p>
        </w:tc>
      </w:tr>
      <w:tr w:rsidR="000E26F7" w14:paraId="0655058D" w14:textId="77777777">
        <w:trPr>
          <w:trHeight w:val="752"/>
        </w:trPr>
        <w:tc>
          <w:tcPr>
            <w:tcW w:w="9285" w:type="dxa"/>
            <w:tcBorders>
              <w:top w:val="single" w:sz="6" w:space="0" w:color="000000"/>
              <w:left w:val="single" w:sz="6" w:space="0" w:color="000000"/>
              <w:bottom w:val="single" w:sz="6" w:space="0" w:color="000000"/>
              <w:right w:val="single" w:sz="6" w:space="0" w:color="000000"/>
            </w:tcBorders>
          </w:tcPr>
          <w:p w14:paraId="687C5EFD"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Resources could be digital items such as LibGuides, videos, online modules, games, or other online activities; or physical handouts, in-class activities, scavenger hunts, etc. Some </w:t>
            </w:r>
          </w:p>
        </w:tc>
      </w:tr>
    </w:tbl>
    <w:p w14:paraId="06C2AC72" w14:textId="77777777" w:rsidR="000E26F7" w:rsidRDefault="000E26F7">
      <w:pPr>
        <w:pBdr>
          <w:top w:val="none" w:sz="0" w:space="0" w:color="auto"/>
          <w:left w:val="none" w:sz="0" w:space="0" w:color="auto"/>
          <w:bottom w:val="none" w:sz="0" w:space="0" w:color="auto"/>
          <w:right w:val="none" w:sz="0" w:space="0" w:color="auto"/>
        </w:pBdr>
        <w:spacing w:after="0" w:line="259" w:lineRule="auto"/>
        <w:ind w:left="-1440" w:right="10800"/>
      </w:pPr>
    </w:p>
    <w:tbl>
      <w:tblPr>
        <w:tblStyle w:val="TableGrid"/>
        <w:tblW w:w="9289" w:type="dxa"/>
        <w:tblInd w:w="369" w:type="dxa"/>
        <w:tblCellMar>
          <w:top w:w="38" w:type="dxa"/>
          <w:left w:w="108" w:type="dxa"/>
          <w:bottom w:w="0" w:type="dxa"/>
          <w:right w:w="124" w:type="dxa"/>
        </w:tblCellMar>
        <w:tblLook w:val="04A0" w:firstRow="1" w:lastRow="0" w:firstColumn="1" w:lastColumn="0" w:noHBand="0" w:noVBand="1"/>
      </w:tblPr>
      <w:tblGrid>
        <w:gridCol w:w="9289"/>
      </w:tblGrid>
      <w:tr w:rsidR="000E26F7" w14:paraId="3D4C0794" w14:textId="77777777">
        <w:trPr>
          <w:trHeight w:val="752"/>
        </w:trPr>
        <w:tc>
          <w:tcPr>
            <w:tcW w:w="9289" w:type="dxa"/>
            <w:tcBorders>
              <w:top w:val="single" w:sz="6" w:space="0" w:color="000000"/>
              <w:left w:val="single" w:sz="6" w:space="0" w:color="000000"/>
              <w:bottom w:val="single" w:sz="6" w:space="0" w:color="000000"/>
              <w:right w:val="single" w:sz="6" w:space="0" w:color="000000"/>
            </w:tcBorders>
          </w:tcPr>
          <w:p w14:paraId="755E4A0F"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jc w:val="both"/>
            </w:pPr>
            <w:r>
              <w:t xml:space="preserve">resources are created in collaboration with teaching faculty, and some are created for general use. </w:t>
            </w:r>
          </w:p>
        </w:tc>
      </w:tr>
      <w:tr w:rsidR="000E26F7" w14:paraId="225731EB" w14:textId="77777777">
        <w:trPr>
          <w:trHeight w:val="752"/>
        </w:trPr>
        <w:tc>
          <w:tcPr>
            <w:tcW w:w="9289" w:type="dxa"/>
            <w:tcBorders>
              <w:top w:val="single" w:sz="6" w:space="0" w:color="000000"/>
              <w:left w:val="single" w:sz="6" w:space="0" w:color="000000"/>
              <w:bottom w:val="single" w:sz="6" w:space="0" w:color="000000"/>
              <w:right w:val="single" w:sz="6" w:space="0" w:color="000000"/>
            </w:tcBorders>
            <w:shd w:val="clear" w:color="auto" w:fill="D9D9D9"/>
          </w:tcPr>
          <w:p w14:paraId="28CB826C"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3. Curates the library collection using allocated funds to support teaching and learning, and to fulfill program and institutional accreditation requirements. </w:t>
            </w:r>
            <w:r>
              <w:t xml:space="preserve"> </w:t>
            </w:r>
          </w:p>
        </w:tc>
      </w:tr>
      <w:tr w:rsidR="000E26F7" w14:paraId="7E0D84D4" w14:textId="77777777">
        <w:trPr>
          <w:trHeight w:val="1494"/>
        </w:trPr>
        <w:tc>
          <w:tcPr>
            <w:tcW w:w="9289" w:type="dxa"/>
            <w:tcBorders>
              <w:top w:val="single" w:sz="6" w:space="0" w:color="000000"/>
              <w:left w:val="single" w:sz="6" w:space="0" w:color="000000"/>
              <w:bottom w:val="single" w:sz="6" w:space="0" w:color="000000"/>
              <w:right w:val="single" w:sz="6" w:space="0" w:color="000000"/>
            </w:tcBorders>
          </w:tcPr>
          <w:p w14:paraId="0622BF32"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Faculty librarians work in conjunction with the LLC Manager to plan spending on library materials. Librarians should cultivate collections that meet the needs of patrons and programs at their respective locations, with a particular interest in library resources for individually accredited programs. </w:t>
            </w:r>
          </w:p>
        </w:tc>
      </w:tr>
      <w:tr w:rsidR="000E26F7" w14:paraId="0B8E0ECA" w14:textId="77777777">
        <w:trPr>
          <w:trHeight w:val="746"/>
        </w:trPr>
        <w:tc>
          <w:tcPr>
            <w:tcW w:w="9289" w:type="dxa"/>
            <w:tcBorders>
              <w:top w:val="single" w:sz="6" w:space="0" w:color="000000"/>
              <w:left w:val="single" w:sz="6" w:space="0" w:color="000000"/>
              <w:bottom w:val="single" w:sz="6" w:space="0" w:color="000000"/>
              <w:right w:val="single" w:sz="6" w:space="0" w:color="000000"/>
            </w:tcBorders>
            <w:shd w:val="clear" w:color="auto" w:fill="D9D9D9"/>
          </w:tcPr>
          <w:p w14:paraId="67ADA489"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4. Builds and maintains partnerships to enrich resource sharing and integrate library services.</w:t>
            </w:r>
            <w:r>
              <w:t xml:space="preserve"> </w:t>
            </w:r>
          </w:p>
        </w:tc>
      </w:tr>
      <w:tr w:rsidR="000E26F7" w14:paraId="3E6D8B9F" w14:textId="77777777">
        <w:trPr>
          <w:trHeight w:val="1485"/>
        </w:trPr>
        <w:tc>
          <w:tcPr>
            <w:tcW w:w="9289" w:type="dxa"/>
            <w:tcBorders>
              <w:top w:val="single" w:sz="6" w:space="0" w:color="000000"/>
              <w:left w:val="single" w:sz="6" w:space="0" w:color="000000"/>
              <w:bottom w:val="nil"/>
              <w:right w:val="single" w:sz="6" w:space="0" w:color="000000"/>
            </w:tcBorders>
          </w:tcPr>
          <w:p w14:paraId="63DA07E3"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Faculty librarians develop and maintain partnerships across the college, enabling more comprehensive support for teaching, learning, and research. Integrating library services through collaboration ensures our resources and services are seamlessly embedded into instructional practices, increasing their visibility and impact. </w:t>
            </w:r>
          </w:p>
        </w:tc>
      </w:tr>
      <w:tr w:rsidR="000E26F7" w14:paraId="01A6430B" w14:textId="77777777">
        <w:trPr>
          <w:trHeight w:val="330"/>
        </w:trPr>
        <w:tc>
          <w:tcPr>
            <w:tcW w:w="9289" w:type="dxa"/>
            <w:tcBorders>
              <w:top w:val="nil"/>
              <w:left w:val="nil"/>
              <w:bottom w:val="nil"/>
              <w:right w:val="nil"/>
            </w:tcBorders>
            <w:shd w:val="clear" w:color="auto" w:fill="000000"/>
          </w:tcPr>
          <w:p w14:paraId="0B922BC8"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sz w:val="12"/>
              </w:rPr>
              <w:t xml:space="preserve"> </w:t>
            </w:r>
          </w:p>
        </w:tc>
      </w:tr>
      <w:tr w:rsidR="000E26F7" w14:paraId="1986F862" w14:textId="77777777">
        <w:trPr>
          <w:trHeight w:val="376"/>
        </w:trPr>
        <w:tc>
          <w:tcPr>
            <w:tcW w:w="9289" w:type="dxa"/>
            <w:tcBorders>
              <w:top w:val="nil"/>
              <w:left w:val="single" w:sz="6" w:space="0" w:color="000000"/>
              <w:bottom w:val="single" w:sz="6" w:space="0" w:color="000000"/>
              <w:right w:val="single" w:sz="6" w:space="0" w:color="000000"/>
            </w:tcBorders>
            <w:shd w:val="clear" w:color="auto" w:fill="D9D9D9"/>
          </w:tcPr>
          <w:p w14:paraId="6266B6FD"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Supervisor Summative Comments</w:t>
            </w:r>
            <w:r>
              <w:t xml:space="preserve"> </w:t>
            </w:r>
          </w:p>
        </w:tc>
      </w:tr>
      <w:tr w:rsidR="000E26F7" w14:paraId="13898ADC" w14:textId="77777777">
        <w:trPr>
          <w:trHeight w:val="1494"/>
        </w:trPr>
        <w:tc>
          <w:tcPr>
            <w:tcW w:w="9289" w:type="dxa"/>
            <w:tcBorders>
              <w:top w:val="single" w:sz="6" w:space="0" w:color="000000"/>
              <w:left w:val="single" w:sz="6" w:space="0" w:color="000000"/>
              <w:bottom w:val="single" w:sz="6" w:space="0" w:color="000000"/>
              <w:right w:val="single" w:sz="6" w:space="0" w:color="000000"/>
            </w:tcBorders>
          </w:tcPr>
          <w:p w14:paraId="69F378D4" w14:textId="77777777" w:rsidR="000E26F7" w:rsidRDefault="003E13B3">
            <w:pPr>
              <w:pBdr>
                <w:top w:val="none" w:sz="0" w:space="0" w:color="auto"/>
                <w:left w:val="none" w:sz="0" w:space="0" w:color="auto"/>
                <w:bottom w:val="none" w:sz="0" w:space="0" w:color="auto"/>
                <w:right w:val="none" w:sz="0" w:space="0" w:color="auto"/>
              </w:pBdr>
              <w:spacing w:after="0" w:line="351" w:lineRule="auto"/>
              <w:ind w:left="0" w:right="0"/>
            </w:pPr>
            <w:r>
              <w:t xml:space="preserve">This comment section is optional. The rationale for including this comment area is to clarify if </w:t>
            </w:r>
            <w:r>
              <w:t xml:space="preserve">a situation is habitual or rare (not reflective of the faculty member’s overarching </w:t>
            </w:r>
          </w:p>
          <w:p w14:paraId="3C6F43D1"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jc w:val="both"/>
            </w:pPr>
            <w:r>
              <w:t xml:space="preserve">performance). Supervisors are encouraged to provide summative comments highlighting the positive work or service in which the faculty member has been involved.  </w:t>
            </w:r>
          </w:p>
        </w:tc>
      </w:tr>
      <w:tr w:rsidR="000E26F7" w14:paraId="1C4798F5" w14:textId="77777777">
        <w:trPr>
          <w:trHeight w:val="381"/>
        </w:trPr>
        <w:tc>
          <w:tcPr>
            <w:tcW w:w="9289" w:type="dxa"/>
            <w:tcBorders>
              <w:top w:val="single" w:sz="6" w:space="0" w:color="000000"/>
              <w:left w:val="single" w:sz="6" w:space="0" w:color="000000"/>
              <w:bottom w:val="single" w:sz="6" w:space="0" w:color="000000"/>
              <w:right w:val="single" w:sz="6" w:space="0" w:color="000000"/>
            </w:tcBorders>
            <w:shd w:val="clear" w:color="auto" w:fill="D9D9D9"/>
          </w:tcPr>
          <w:p w14:paraId="1EA0DCE9"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Overall Rating</w:t>
            </w:r>
            <w:r>
              <w:t xml:space="preserve"> </w:t>
            </w:r>
          </w:p>
        </w:tc>
      </w:tr>
      <w:tr w:rsidR="000E26F7" w14:paraId="5B153512" w14:textId="77777777">
        <w:trPr>
          <w:trHeight w:val="4073"/>
        </w:trPr>
        <w:tc>
          <w:tcPr>
            <w:tcW w:w="9289" w:type="dxa"/>
            <w:tcBorders>
              <w:top w:val="single" w:sz="6" w:space="0" w:color="000000"/>
              <w:left w:val="single" w:sz="6" w:space="0" w:color="000000"/>
              <w:bottom w:val="single" w:sz="6" w:space="0" w:color="000000"/>
              <w:right w:val="single" w:sz="6" w:space="0" w:color="000000"/>
            </w:tcBorders>
          </w:tcPr>
          <w:p w14:paraId="01C3BF55" w14:textId="77777777" w:rsidR="000E26F7" w:rsidRDefault="003E13B3">
            <w:pPr>
              <w:pBdr>
                <w:top w:val="none" w:sz="0" w:space="0" w:color="auto"/>
                <w:left w:val="none" w:sz="0" w:space="0" w:color="auto"/>
                <w:bottom w:val="none" w:sz="0" w:space="0" w:color="auto"/>
                <w:right w:val="none" w:sz="0" w:space="0" w:color="auto"/>
              </w:pBdr>
              <w:spacing w:after="92" w:line="259" w:lineRule="auto"/>
              <w:ind w:left="0" w:right="0"/>
            </w:pPr>
            <w:r>
              <w:t xml:space="preserve">Overall rating pertains to Part I of the evaluation, including completion of Part II.   </w:t>
            </w:r>
          </w:p>
          <w:p w14:paraId="4D8FC891" w14:textId="77777777" w:rsidR="000E26F7" w:rsidRDefault="003E13B3">
            <w:pPr>
              <w:pBdr>
                <w:top w:val="none" w:sz="0" w:space="0" w:color="auto"/>
                <w:left w:val="none" w:sz="0" w:space="0" w:color="auto"/>
                <w:bottom w:val="none" w:sz="0" w:space="0" w:color="auto"/>
                <w:right w:val="none" w:sz="0" w:space="0" w:color="auto"/>
              </w:pBdr>
              <w:spacing w:after="1"/>
              <w:ind w:left="0" w:right="317"/>
              <w:jc w:val="both"/>
            </w:pPr>
            <w:r>
              <w:t xml:space="preserve">Having every item in the Standard Duties Section (Part I of this evaluation tool) marked as </w:t>
            </w:r>
            <w:r>
              <w:t xml:space="preserve">“satisfactory" does not necessarily mean the faculty member would have an overall satisfactory evaluation. Likewise, having “needs attention” marked in any part of </w:t>
            </w:r>
            <w:r>
              <w:t xml:space="preserve">this basic section does not necessarily preclude the faculty member from achieving an overall satisfactory evaluation.  </w:t>
            </w:r>
          </w:p>
          <w:p w14:paraId="200E2E5C"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If an overall rating of Needs Attention is determined, the evaluation will be forwarded to the appropriate Associate Provost/Associate Vice President/Executive Director for approval. The faculty member shall be provided an opportunity to improve his or her performance and an </w:t>
            </w:r>
            <w:r>
              <w:t xml:space="preserve">improvement plan shall be developed in collaboration with the faculty member’s immediate </w:t>
            </w:r>
            <w:r>
              <w:t xml:space="preserve">supervisor. </w:t>
            </w:r>
          </w:p>
        </w:tc>
      </w:tr>
    </w:tbl>
    <w:p w14:paraId="57A1CF7A" w14:textId="77777777" w:rsidR="000E26F7" w:rsidRDefault="000E26F7">
      <w:pPr>
        <w:pBdr>
          <w:top w:val="none" w:sz="0" w:space="0" w:color="auto"/>
          <w:left w:val="none" w:sz="0" w:space="0" w:color="auto"/>
          <w:bottom w:val="none" w:sz="0" w:space="0" w:color="auto"/>
          <w:right w:val="none" w:sz="0" w:space="0" w:color="auto"/>
        </w:pBdr>
        <w:spacing w:after="0" w:line="259" w:lineRule="auto"/>
        <w:ind w:left="-1440" w:right="10800"/>
      </w:pPr>
    </w:p>
    <w:tbl>
      <w:tblPr>
        <w:tblStyle w:val="TableGrid"/>
        <w:tblW w:w="9285" w:type="dxa"/>
        <w:tblInd w:w="370" w:type="dxa"/>
        <w:tblCellMar>
          <w:top w:w="11" w:type="dxa"/>
          <w:left w:w="106" w:type="dxa"/>
          <w:bottom w:w="0" w:type="dxa"/>
          <w:right w:w="64" w:type="dxa"/>
        </w:tblCellMar>
        <w:tblLook w:val="04A0" w:firstRow="1" w:lastRow="0" w:firstColumn="1" w:lastColumn="0" w:noHBand="0" w:noVBand="1"/>
      </w:tblPr>
      <w:tblGrid>
        <w:gridCol w:w="9285"/>
      </w:tblGrid>
      <w:tr w:rsidR="000E26F7" w14:paraId="4891FFF9" w14:textId="77777777">
        <w:trPr>
          <w:trHeight w:val="1122"/>
        </w:trPr>
        <w:tc>
          <w:tcPr>
            <w:tcW w:w="9285" w:type="dxa"/>
            <w:tcBorders>
              <w:top w:val="single" w:sz="6" w:space="0" w:color="000000"/>
              <w:left w:val="single" w:sz="6" w:space="0" w:color="000000"/>
              <w:bottom w:val="single" w:sz="6" w:space="0" w:color="000000"/>
              <w:right w:val="single" w:sz="6" w:space="0" w:color="000000"/>
            </w:tcBorders>
          </w:tcPr>
          <w:p w14:paraId="75A15049"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Recommendations for improvement MUST be written in such a way that both parties can objectively determine that the faculty member took corrective action. Any recommendations for improvement should be addressable in one year or less of the applicable evaluation. </w:t>
            </w:r>
          </w:p>
        </w:tc>
      </w:tr>
      <w:tr w:rsidR="000E26F7" w14:paraId="73497017" w14:textId="77777777">
        <w:trPr>
          <w:trHeight w:val="526"/>
        </w:trPr>
        <w:tc>
          <w:tcPr>
            <w:tcW w:w="9285" w:type="dxa"/>
            <w:tcBorders>
              <w:top w:val="single" w:sz="6" w:space="0" w:color="000000"/>
              <w:left w:val="single" w:sz="6" w:space="0" w:color="000000"/>
              <w:bottom w:val="single" w:sz="6" w:space="0" w:color="000000"/>
              <w:right w:val="single" w:sz="6" w:space="0" w:color="000000"/>
            </w:tcBorders>
            <w:shd w:val="clear" w:color="auto" w:fill="DAE8F8"/>
          </w:tcPr>
          <w:p w14:paraId="2415CC40"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rFonts w:ascii="Aptos" w:eastAsia="Aptos" w:hAnsi="Aptos" w:cs="Aptos"/>
                <w:b/>
                <w:sz w:val="28"/>
              </w:rPr>
              <w:t>Part II: Formative Evaluation</w:t>
            </w:r>
            <w:r>
              <w:rPr>
                <w:b/>
              </w:rPr>
              <w:t xml:space="preserve"> </w:t>
            </w:r>
            <w:r>
              <w:rPr>
                <w:b/>
                <w:sz w:val="28"/>
              </w:rPr>
              <w:t xml:space="preserve"> </w:t>
            </w:r>
          </w:p>
        </w:tc>
      </w:tr>
      <w:tr w:rsidR="000E26F7" w14:paraId="2A753B53" w14:textId="77777777">
        <w:trPr>
          <w:trHeight w:val="754"/>
        </w:trPr>
        <w:tc>
          <w:tcPr>
            <w:tcW w:w="9285" w:type="dxa"/>
            <w:tcBorders>
              <w:top w:val="single" w:sz="6" w:space="0" w:color="000000"/>
              <w:left w:val="single" w:sz="6" w:space="0" w:color="000000"/>
              <w:bottom w:val="single" w:sz="6" w:space="0" w:color="000000"/>
              <w:right w:val="single" w:sz="6" w:space="0" w:color="000000"/>
            </w:tcBorders>
          </w:tcPr>
          <w:p w14:paraId="635E0F13"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The formative evaluation is to be completed by the faculty member. The supervisor is only able to view this section, not rate it.  </w:t>
            </w:r>
          </w:p>
        </w:tc>
      </w:tr>
      <w:tr w:rsidR="000E26F7" w14:paraId="16A59591" w14:textId="77777777">
        <w:trPr>
          <w:trHeight w:val="382"/>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6E719672"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Summary of Activities</w:t>
            </w:r>
            <w:r>
              <w:t xml:space="preserve"> </w:t>
            </w:r>
          </w:p>
        </w:tc>
      </w:tr>
      <w:tr w:rsidR="000E26F7" w14:paraId="79FD1CD8" w14:textId="77777777">
        <w:trPr>
          <w:trHeight w:val="1894"/>
        </w:trPr>
        <w:tc>
          <w:tcPr>
            <w:tcW w:w="9285" w:type="dxa"/>
            <w:tcBorders>
              <w:top w:val="single" w:sz="6" w:space="0" w:color="000000"/>
              <w:left w:val="single" w:sz="6" w:space="0" w:color="000000"/>
              <w:bottom w:val="single" w:sz="6" w:space="0" w:color="000000"/>
              <w:right w:val="single" w:sz="6" w:space="0" w:color="000000"/>
            </w:tcBorders>
          </w:tcPr>
          <w:p w14:paraId="6967A2C8" w14:textId="77777777" w:rsidR="000E26F7" w:rsidRDefault="003E13B3">
            <w:pPr>
              <w:pBdr>
                <w:top w:val="none" w:sz="0" w:space="0" w:color="auto"/>
                <w:left w:val="none" w:sz="0" w:space="0" w:color="auto"/>
                <w:bottom w:val="none" w:sz="0" w:space="0" w:color="auto"/>
                <w:right w:val="none" w:sz="0" w:space="0" w:color="auto"/>
              </w:pBdr>
              <w:spacing w:after="25"/>
              <w:ind w:left="0" w:right="0"/>
            </w:pPr>
            <w:r>
              <w:t>In bullet-</w:t>
            </w:r>
            <w:r>
              <w:t>point or narrative format, the faculty member will summarize/highlight activities they have engaged in since their last evaluation. Faculty are further encouraged to define which pillar(s) (Teaching, Professional Development, and Service) they consider addressed by a given activity</w:t>
            </w:r>
            <w:r>
              <w:t>––</w:t>
            </w:r>
            <w:r>
              <w:t xml:space="preserve">remembering that one activity may address more than one pillar. Review </w:t>
            </w:r>
          </w:p>
          <w:p w14:paraId="47DCBAF5"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Appendix B of the </w:t>
            </w:r>
            <w:hyperlink r:id="rId38">
              <w:r>
                <w:rPr>
                  <w:color w:val="467886"/>
                  <w:sz w:val="24"/>
                  <w:u w:val="single" w:color="467886"/>
                </w:rPr>
                <w:t>Collective Bargaining Agreement</w:t>
              </w:r>
            </w:hyperlink>
            <w:hyperlink r:id="rId39">
              <w:r>
                <w:t xml:space="preserve"> </w:t>
              </w:r>
            </w:hyperlink>
            <w:r>
              <w:t xml:space="preserve">for examples of relevant activities.  </w:t>
            </w:r>
          </w:p>
        </w:tc>
      </w:tr>
      <w:tr w:rsidR="000E26F7" w14:paraId="41754937" w14:textId="77777777">
        <w:trPr>
          <w:trHeight w:val="381"/>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7E48947C"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Reflection on the Plan Developed in your Prior Evaluation</w:t>
            </w:r>
            <w:r>
              <w:rPr>
                <w:sz w:val="28"/>
              </w:rPr>
              <w:t xml:space="preserve">  </w:t>
            </w:r>
          </w:p>
        </w:tc>
      </w:tr>
      <w:tr w:rsidR="000E26F7" w14:paraId="2C1A615A" w14:textId="77777777">
        <w:trPr>
          <w:trHeight w:val="3060"/>
        </w:trPr>
        <w:tc>
          <w:tcPr>
            <w:tcW w:w="9285" w:type="dxa"/>
            <w:tcBorders>
              <w:top w:val="single" w:sz="6" w:space="0" w:color="000000"/>
              <w:left w:val="single" w:sz="6" w:space="0" w:color="000000"/>
              <w:bottom w:val="single" w:sz="6" w:space="0" w:color="000000"/>
              <w:right w:val="single" w:sz="6" w:space="0" w:color="000000"/>
            </w:tcBorders>
          </w:tcPr>
          <w:p w14:paraId="4B8699AC" w14:textId="77777777" w:rsidR="000E26F7" w:rsidRDefault="003E13B3">
            <w:pPr>
              <w:pBdr>
                <w:top w:val="none" w:sz="0" w:space="0" w:color="auto"/>
                <w:left w:val="none" w:sz="0" w:space="0" w:color="auto"/>
                <w:bottom w:val="none" w:sz="0" w:space="0" w:color="auto"/>
                <w:right w:val="none" w:sz="0" w:space="0" w:color="auto"/>
              </w:pBdr>
              <w:spacing w:after="41"/>
              <w:ind w:left="0" w:right="0"/>
            </w:pPr>
            <w:r>
              <w:t xml:space="preserve">Faculty engaging in the evaluation tool for the first time (e.g., new faculty and faculty cycling </w:t>
            </w:r>
            <w:r>
              <w:t xml:space="preserve">onto this new evaluation tool from the prior tool) will not have a “prior year plan” to review. If </w:t>
            </w:r>
            <w:r>
              <w:t xml:space="preserve">faculty members are unsure of how to frame this reflection, they might consider the following reflection questions:  </w:t>
            </w:r>
          </w:p>
          <w:p w14:paraId="05C23B65" w14:textId="77777777" w:rsidR="000E26F7" w:rsidRDefault="003E13B3">
            <w:pPr>
              <w:numPr>
                <w:ilvl w:val="0"/>
                <w:numId w:val="1"/>
              </w:numPr>
              <w:pBdr>
                <w:top w:val="none" w:sz="0" w:space="0" w:color="auto"/>
                <w:left w:val="none" w:sz="0" w:space="0" w:color="auto"/>
                <w:bottom w:val="none" w:sz="0" w:space="0" w:color="auto"/>
                <w:right w:val="none" w:sz="0" w:space="0" w:color="auto"/>
              </w:pBdr>
              <w:spacing w:after="100" w:line="259" w:lineRule="auto"/>
              <w:ind w:right="0" w:hanging="360"/>
            </w:pPr>
            <w:r>
              <w:t xml:space="preserve">What worked well from the plan developed in your prior evaluation?  </w:t>
            </w:r>
          </w:p>
          <w:p w14:paraId="076D585A" w14:textId="77777777" w:rsidR="000E26F7" w:rsidRDefault="003E13B3">
            <w:pPr>
              <w:numPr>
                <w:ilvl w:val="0"/>
                <w:numId w:val="1"/>
              </w:numPr>
              <w:pBdr>
                <w:top w:val="none" w:sz="0" w:space="0" w:color="auto"/>
                <w:left w:val="none" w:sz="0" w:space="0" w:color="auto"/>
                <w:bottom w:val="none" w:sz="0" w:space="0" w:color="auto"/>
                <w:right w:val="none" w:sz="0" w:space="0" w:color="auto"/>
              </w:pBdr>
              <w:spacing w:after="101" w:line="259" w:lineRule="auto"/>
              <w:ind w:right="0" w:hanging="360"/>
            </w:pPr>
            <w:r>
              <w:t xml:space="preserve">What might not have gone as according to plan? Why?  </w:t>
            </w:r>
          </w:p>
          <w:p w14:paraId="08E33330" w14:textId="77777777" w:rsidR="000E26F7" w:rsidRDefault="003E13B3">
            <w:pPr>
              <w:numPr>
                <w:ilvl w:val="0"/>
                <w:numId w:val="1"/>
              </w:numPr>
              <w:pBdr>
                <w:top w:val="none" w:sz="0" w:space="0" w:color="auto"/>
                <w:left w:val="none" w:sz="0" w:space="0" w:color="auto"/>
                <w:bottom w:val="none" w:sz="0" w:space="0" w:color="auto"/>
                <w:right w:val="none" w:sz="0" w:space="0" w:color="auto"/>
              </w:pBdr>
              <w:spacing w:after="100" w:line="259" w:lineRule="auto"/>
              <w:ind w:right="0" w:hanging="360"/>
            </w:pPr>
            <w:r>
              <w:t xml:space="preserve">What impact did the plan have on your teaching, if any?  </w:t>
            </w:r>
          </w:p>
          <w:p w14:paraId="0F2F7EA6" w14:textId="77777777" w:rsidR="000E26F7" w:rsidRDefault="003E13B3">
            <w:pPr>
              <w:numPr>
                <w:ilvl w:val="0"/>
                <w:numId w:val="1"/>
              </w:numPr>
              <w:pBdr>
                <w:top w:val="none" w:sz="0" w:space="0" w:color="auto"/>
                <w:left w:val="none" w:sz="0" w:space="0" w:color="auto"/>
                <w:bottom w:val="none" w:sz="0" w:space="0" w:color="auto"/>
                <w:right w:val="none" w:sz="0" w:space="0" w:color="auto"/>
              </w:pBdr>
              <w:spacing w:after="0" w:line="259" w:lineRule="auto"/>
              <w:ind w:right="0" w:hanging="360"/>
            </w:pPr>
            <w:r>
              <w:t xml:space="preserve">What did you learn from engaging in the planned activities?  </w:t>
            </w:r>
          </w:p>
        </w:tc>
      </w:tr>
      <w:tr w:rsidR="000E26F7" w14:paraId="50CD79DD" w14:textId="77777777">
        <w:trPr>
          <w:trHeight w:val="376"/>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0B157245"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 xml:space="preserve">Proposed Plan of Activity for the Upcoming Evaluation Period </w:t>
            </w:r>
            <w:r>
              <w:t xml:space="preserve"> </w:t>
            </w:r>
          </w:p>
        </w:tc>
      </w:tr>
      <w:tr w:rsidR="000E26F7" w14:paraId="69F858B6" w14:textId="77777777">
        <w:trPr>
          <w:trHeight w:val="3710"/>
        </w:trPr>
        <w:tc>
          <w:tcPr>
            <w:tcW w:w="9285" w:type="dxa"/>
            <w:tcBorders>
              <w:top w:val="single" w:sz="6" w:space="0" w:color="000000"/>
              <w:left w:val="single" w:sz="6" w:space="0" w:color="000000"/>
              <w:bottom w:val="single" w:sz="6" w:space="0" w:color="000000"/>
              <w:right w:val="single" w:sz="6" w:space="0" w:color="000000"/>
            </w:tcBorders>
          </w:tcPr>
          <w:p w14:paraId="75C8E0FC" w14:textId="77777777" w:rsidR="000E26F7" w:rsidRDefault="003E13B3">
            <w:pPr>
              <w:pBdr>
                <w:top w:val="none" w:sz="0" w:space="0" w:color="auto"/>
                <w:left w:val="none" w:sz="0" w:space="0" w:color="auto"/>
                <w:bottom w:val="none" w:sz="0" w:space="0" w:color="auto"/>
                <w:right w:val="none" w:sz="0" w:space="0" w:color="auto"/>
              </w:pBdr>
              <w:spacing w:after="2"/>
              <w:ind w:left="0" w:right="0"/>
            </w:pPr>
            <w:r>
              <w:t>The faculty member will propose a plan of activity for the upcoming evaluation period in at least one of the three pillars: Teaching, Professional Development, and Service. A given activity may address more than one pillar and activities need not be new</w:t>
            </w:r>
            <w:r>
              <w:t>––</w:t>
            </w:r>
            <w:r>
              <w:t xml:space="preserve">they could be a continuance of effort(s) and/or activities from the prior evaluation period. The proposed plan of activity must align with one or more of the three foundational pillars: Teaching, </w:t>
            </w:r>
          </w:p>
          <w:p w14:paraId="366C0B40"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t xml:space="preserve">Professional Development, and Service. Emphasis within or across these pillars can vary </w:t>
            </w:r>
            <w:r>
              <w:t xml:space="preserve">based on the individual’s career stage and College/Program needs. Faculty should contribute to the institution’s mission in ways that align with their roles, interests, and goals. The depth </w:t>
            </w:r>
            <w:r>
              <w:t xml:space="preserve">and breadth of activity associated with a given pillar can vary, and one activity could address multiple/all pillars.  </w:t>
            </w:r>
          </w:p>
        </w:tc>
      </w:tr>
      <w:tr w:rsidR="000E26F7" w14:paraId="22FD7C0C" w14:textId="77777777">
        <w:trPr>
          <w:trHeight w:val="376"/>
        </w:trPr>
        <w:tc>
          <w:tcPr>
            <w:tcW w:w="9285" w:type="dxa"/>
            <w:tcBorders>
              <w:top w:val="single" w:sz="6" w:space="0" w:color="000000"/>
              <w:left w:val="single" w:sz="6" w:space="0" w:color="000000"/>
              <w:bottom w:val="single" w:sz="6" w:space="0" w:color="000000"/>
              <w:right w:val="single" w:sz="6" w:space="0" w:color="000000"/>
            </w:tcBorders>
            <w:shd w:val="clear" w:color="auto" w:fill="D9D9D9"/>
          </w:tcPr>
          <w:p w14:paraId="77701C60"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0" w:right="0"/>
            </w:pPr>
            <w:r>
              <w:rPr>
                <w:b/>
              </w:rPr>
              <w:t>Optional Supervisor Comments for Part II</w:t>
            </w:r>
            <w:r>
              <w:rPr>
                <w:sz w:val="28"/>
              </w:rPr>
              <w:t xml:space="preserve">  </w:t>
            </w:r>
          </w:p>
        </w:tc>
      </w:tr>
    </w:tbl>
    <w:p w14:paraId="718CA4DC" w14:textId="77777777" w:rsidR="000E26F7" w:rsidRDefault="003E13B3">
      <w:r>
        <w:rPr>
          <w:rFonts w:cs="Arial"/>
        </w:rPr>
        <w:t xml:space="preserve">The supervisor will have the opportunity to provide comments on the faculty member’s </w:t>
      </w:r>
      <w:r>
        <w:t>formative evaluation. Keep in mind, Innovation requires risk tolerance. Considering progress toward a goal rather than punitive action for unmet goals is what encourages innovation. Faculty and supervisors will collaborate on reviewing what went well and foster space for development and progress toward goals</w:t>
      </w:r>
      <w:r>
        <w:rPr>
          <w:rFonts w:cs="Arial"/>
        </w:rPr>
        <w:t>––</w:t>
      </w:r>
      <w:r>
        <w:t xml:space="preserve">or revision of goals where useful. </w:t>
      </w:r>
    </w:p>
    <w:p w14:paraId="3B9D7738" w14:textId="77777777" w:rsidR="000E26F7" w:rsidRDefault="003E13B3">
      <w:pPr>
        <w:pBdr>
          <w:top w:val="none" w:sz="0" w:space="0" w:color="auto"/>
          <w:left w:val="none" w:sz="0" w:space="0" w:color="auto"/>
          <w:bottom w:val="none" w:sz="0" w:space="0" w:color="auto"/>
          <w:right w:val="none" w:sz="0" w:space="0" w:color="auto"/>
        </w:pBdr>
        <w:spacing w:after="189" w:line="259" w:lineRule="auto"/>
        <w:ind w:left="70" w:right="0"/>
        <w:jc w:val="center"/>
      </w:pPr>
      <w:r>
        <w:rPr>
          <w:rFonts w:ascii="Aptos" w:eastAsia="Aptos" w:hAnsi="Aptos" w:cs="Aptos"/>
          <w:b/>
          <w:sz w:val="32"/>
        </w:rPr>
        <w:t xml:space="preserve"> </w:t>
      </w:r>
    </w:p>
    <w:p w14:paraId="22F37D61" w14:textId="77777777" w:rsidR="000E26F7" w:rsidRDefault="003E13B3">
      <w:pPr>
        <w:pBdr>
          <w:top w:val="none" w:sz="0" w:space="0" w:color="auto"/>
          <w:left w:val="none" w:sz="0" w:space="0" w:color="auto"/>
          <w:bottom w:val="none" w:sz="0" w:space="0" w:color="auto"/>
          <w:right w:val="none" w:sz="0" w:space="0" w:color="auto"/>
        </w:pBdr>
        <w:spacing w:after="0" w:line="259" w:lineRule="auto"/>
        <w:ind w:left="70" w:right="0"/>
        <w:jc w:val="center"/>
      </w:pPr>
      <w:r>
        <w:rPr>
          <w:rFonts w:ascii="Aptos" w:eastAsia="Aptos" w:hAnsi="Aptos" w:cs="Aptos"/>
          <w:b/>
          <w:sz w:val="32"/>
        </w:rPr>
        <w:t xml:space="preserve"> </w:t>
      </w:r>
    </w:p>
    <w:sectPr w:rsidR="000E26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1BBD"/>
    <w:multiLevelType w:val="hybridMultilevel"/>
    <w:tmpl w:val="FFFFFFFF"/>
    <w:lvl w:ilvl="0" w:tplc="A73E94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6CFA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3C7C8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49BD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E011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6AF7E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78838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C8B31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0EB5C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8405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F7"/>
    <w:rsid w:val="000E26F7"/>
    <w:rsid w:val="003E13B3"/>
    <w:rsid w:val="00F6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299A86"/>
  <w15:docId w15:val="{332CB118-6F87-9B49-B95C-344659A2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6" w:space="0" w:color="000000"/>
        <w:left w:val="single" w:sz="6" w:space="0" w:color="000000"/>
        <w:bottom w:val="single" w:sz="6" w:space="0" w:color="000000"/>
        <w:right w:val="single" w:sz="6" w:space="0" w:color="000000"/>
      </w:pBdr>
      <w:spacing w:after="116" w:line="350" w:lineRule="auto"/>
      <w:ind w:left="476" w:right="-73"/>
    </w:pPr>
    <w:rPr>
      <w:rFonts w:ascii="Arial" w:eastAsia="Arial" w:hAnsi="Arial"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scj.edu/docs/default-source/apm/03-0203.pdf?sfvrsn=c7075ff8_7" TargetMode="External" /><Relationship Id="rId13" Type="http://schemas.openxmlformats.org/officeDocument/2006/relationships/hyperlink" Target="https://www.fscj.edu/docs/default-source/apm/09-0902.pdf?sfvrsn=98e5c1fc_3" TargetMode="External" /><Relationship Id="rId18" Type="http://schemas.openxmlformats.org/officeDocument/2006/relationships/hyperlink" Target="https://www.fscj.edu/discover/governance-administration/oiea/strategic-priorities/achieve/success-fscj" TargetMode="External" /><Relationship Id="rId26" Type="http://schemas.openxmlformats.org/officeDocument/2006/relationships/hyperlink" Target="https://www.fscj.edu/discover/governance-administration/oiea/ie/student-achievement" TargetMode="External" /><Relationship Id="rId39" Type="http://schemas.openxmlformats.org/officeDocument/2006/relationships/hyperlink" Target="https://www.fscj.edu/docs/default-source/hr/faculty-instructor-resources/collective-bargaining-agreement.pdf?sfvrsn=1bc29943_25" TargetMode="External" /><Relationship Id="rId3" Type="http://schemas.openxmlformats.org/officeDocument/2006/relationships/settings" Target="settings.xml" /><Relationship Id="rId21" Type="http://schemas.openxmlformats.org/officeDocument/2006/relationships/hyperlink" Target="https://www.fscj.edu/docs/default-source/governance/oiea/strategic-priorities/transforming_tomorrow_sp_final.pdf?sfvrsn=76162807_1" TargetMode="External" /><Relationship Id="rId34" Type="http://schemas.openxmlformats.org/officeDocument/2006/relationships/hyperlink" Target="https://www.fscj.edu/docs/default-source/apm/09-0201.pdf?sfvrsn=68510868_4" TargetMode="External" /><Relationship Id="rId7" Type="http://schemas.openxmlformats.org/officeDocument/2006/relationships/hyperlink" Target="https://www.fscj.edu/docs/default-source/apm/03-0203.pdf?sfvrsn=c7075ff8_7" TargetMode="External" /><Relationship Id="rId12" Type="http://schemas.openxmlformats.org/officeDocument/2006/relationships/hyperlink" Target="https://www.fscj.edu/docs/default-source/apm/04-1101.pdf?sfvrsn=3e61032e_5" TargetMode="External" /><Relationship Id="rId17" Type="http://schemas.openxmlformats.org/officeDocument/2006/relationships/hyperlink" Target="https://www.fscj.edu/discover/governance-administration/oiea/strategic-priorities/achieve/success-fscj" TargetMode="External" /><Relationship Id="rId25" Type="http://schemas.openxmlformats.org/officeDocument/2006/relationships/hyperlink" Target="https://www.fscj.edu/discover/governance-administration/oiea/ie/student-achievement" TargetMode="External" /><Relationship Id="rId33" Type="http://schemas.openxmlformats.org/officeDocument/2006/relationships/hyperlink" Target="https://www.fscj.edu/docs/default-source/apm/09-0201.pdf?sfvrsn=68510868_4" TargetMode="External" /><Relationship Id="rId38" Type="http://schemas.openxmlformats.org/officeDocument/2006/relationships/hyperlink" Target="https://www.fscj.edu/docs/default-source/hr/faculty-instructor-resources/collective-bargaining-agreement.pdf?sfvrsn=1bc29943_25" TargetMode="External" /><Relationship Id="rId2" Type="http://schemas.openxmlformats.org/officeDocument/2006/relationships/styles" Target="styles.xml" /><Relationship Id="rId16" Type="http://schemas.openxmlformats.org/officeDocument/2006/relationships/hyperlink" Target="https://www.fscj.edu/docs/default-source/apm/09-0902.pdf?sfvrsn=98e5c1fc_3" TargetMode="External" /><Relationship Id="rId20" Type="http://schemas.openxmlformats.org/officeDocument/2006/relationships/hyperlink" Target="https://www.fscj.edu/docs/default-source/governance/oiea/strategic-priorities/transforming_tomorrow_sp_final.pdf?sfvrsn=76162807_1" TargetMode="External" /><Relationship Id="rId29" Type="http://schemas.openxmlformats.org/officeDocument/2006/relationships/hyperlink" Target="https://www.fscj.edu/docs/default-source/apm/09-0201.pdf?sfvrsn=68510868_4" TargetMode="External" /><Relationship Id="rId41"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www.fscj.edu/docs/default-source/apm/03-0203.pdf?sfvrsn=c7075ff8_7" TargetMode="External" /><Relationship Id="rId11" Type="http://schemas.openxmlformats.org/officeDocument/2006/relationships/hyperlink" Target="https://www.fscj.edu/docs/default-source/apm/04-1101.pdf?sfvrsn=3e61032e_5" TargetMode="External" /><Relationship Id="rId24" Type="http://schemas.openxmlformats.org/officeDocument/2006/relationships/hyperlink" Target="https://www.fscj.edu/docs/default-source/governance/oiea/strategic-priorities/transforming_tomorrow_sp_final.pdf?sfvrsn=76162807_1" TargetMode="External" /><Relationship Id="rId32" Type="http://schemas.openxmlformats.org/officeDocument/2006/relationships/hyperlink" Target="https://www.fscj.edu/docs/default-source/apm/09-0201.pdf?sfvrsn=68510868_4" TargetMode="External" /><Relationship Id="rId37" Type="http://schemas.openxmlformats.org/officeDocument/2006/relationships/hyperlink" Target="https://www.fscj.edu/docs/default-source/hr/faculty-instructor-resources/collective-bargaining-agreement.pdf?sfvrsn=1bc29943_25" TargetMode="External" /><Relationship Id="rId40" Type="http://schemas.openxmlformats.org/officeDocument/2006/relationships/fontTable" Target="fontTable.xml" /><Relationship Id="rId5" Type="http://schemas.openxmlformats.org/officeDocument/2006/relationships/hyperlink" Target="https://www.fscj.edu/docs/default-source/apm/03-0203.pdf?sfvrsn=c7075ff8_7" TargetMode="External" /><Relationship Id="rId15" Type="http://schemas.openxmlformats.org/officeDocument/2006/relationships/hyperlink" Target="https://www.fscj.edu/docs/default-source/apm/09-0902.pdf?sfvrsn=98e5c1fc_3" TargetMode="External" /><Relationship Id="rId23" Type="http://schemas.openxmlformats.org/officeDocument/2006/relationships/hyperlink" Target="https://www.fscj.edu/docs/default-source/governance/oiea/strategic-priorities/transforming_tomorrow_sp_final.pdf?sfvrsn=76162807_1" TargetMode="External" /><Relationship Id="rId28" Type="http://schemas.openxmlformats.org/officeDocument/2006/relationships/hyperlink" Target="https://www.fscj.edu/docs/default-source/apm/09-0201.pdf?sfvrsn=68510868_4" TargetMode="External" /><Relationship Id="rId36" Type="http://schemas.openxmlformats.org/officeDocument/2006/relationships/hyperlink" Target="https://www.fscj.edu/docs/default-source/hr/faculty-instructor-resources/collective-bargaining-agreement.pdf?sfvrsn=1bc29943_25" TargetMode="External" /><Relationship Id="rId10" Type="http://schemas.openxmlformats.org/officeDocument/2006/relationships/hyperlink" Target="https://www.fscj.edu/docs/default-source/apm/04-1101.pdf?sfvrsn=3e61032e_5" TargetMode="External" /><Relationship Id="rId19" Type="http://schemas.openxmlformats.org/officeDocument/2006/relationships/hyperlink" Target="https://www.fscj.edu/docs/default-source/governance/oiea/strategic-priorities/transforming_tomorrow_sp_final.pdf?sfvrsn=76162807_1" TargetMode="External" /><Relationship Id="rId31" Type="http://schemas.openxmlformats.org/officeDocument/2006/relationships/hyperlink" Target="https://www.fscj.edu/docs/default-source/apm/09-0201.pdf?sfvrsn=68510868_4" TargetMode="External" /><Relationship Id="rId4" Type="http://schemas.openxmlformats.org/officeDocument/2006/relationships/webSettings" Target="webSettings.xml" /><Relationship Id="rId9" Type="http://schemas.openxmlformats.org/officeDocument/2006/relationships/hyperlink" Target="https://www.fscj.edu/docs/default-source/apm/04-1101.pdf?sfvrsn=3e61032e_5" TargetMode="External" /><Relationship Id="rId14" Type="http://schemas.openxmlformats.org/officeDocument/2006/relationships/hyperlink" Target="https://www.fscj.edu/docs/default-source/apm/09-0902.pdf?sfvrsn=98e5c1fc_3" TargetMode="External" /><Relationship Id="rId22" Type="http://schemas.openxmlformats.org/officeDocument/2006/relationships/hyperlink" Target="https://www.fscj.edu/docs/default-source/governance/oiea/strategic-priorities/transforming_tomorrow_sp_final.pdf?sfvrsn=76162807_1" TargetMode="External" /><Relationship Id="rId27" Type="http://schemas.openxmlformats.org/officeDocument/2006/relationships/hyperlink" Target="https://www.fscj.edu/docs/default-source/apm/09-0201.pdf?sfvrsn=68510868_4" TargetMode="External" /><Relationship Id="rId30" Type="http://schemas.openxmlformats.org/officeDocument/2006/relationships/hyperlink" Target="https://www.fscj.edu/docs/default-source/apm/09-0201.pdf?sfvrsn=68510868_4" TargetMode="External" /><Relationship Id="rId35" Type="http://schemas.openxmlformats.org/officeDocument/2006/relationships/hyperlink" Target="https://www.fscj.edu/docs/default-source/apm/09-0201.pdf?sfvrsn=68510868_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2402</Words>
  <Characters>13694</Characters>
  <Application>Microsoft Office Word</Application>
  <DocSecurity>0</DocSecurity>
  <Lines>114</Lines>
  <Paragraphs>32</Paragraphs>
  <ScaleCrop>false</ScaleCrop>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Martina L.</dc:creator>
  <cp:keywords/>
  <cp:lastModifiedBy>J D Jones</cp:lastModifiedBy>
  <cp:revision>2</cp:revision>
  <dcterms:created xsi:type="dcterms:W3CDTF">2026-05-30T17:55:00Z</dcterms:created>
  <dcterms:modified xsi:type="dcterms:W3CDTF">2026-05-30T17:55:00Z</dcterms:modified>
</cp:coreProperties>
</file>